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8D" w:rsidRPr="00594C8D" w:rsidRDefault="00594C8D" w:rsidP="00594C8D">
      <w:pPr>
        <w:shd w:val="clear" w:color="auto" w:fill="FFFFFF"/>
        <w:spacing w:after="0" w:line="240" w:lineRule="auto"/>
        <w:jc w:val="both"/>
        <w:rPr>
          <w:rFonts w:ascii="Times New Roman" w:eastAsia="Times New Roman" w:hAnsi="Times New Roman" w:cs="Times New Roman"/>
          <w:caps/>
          <w:color w:val="333333"/>
          <w:sz w:val="21"/>
          <w:szCs w:val="21"/>
        </w:rPr>
      </w:pPr>
      <w:r w:rsidRPr="00594C8D">
        <w:rPr>
          <w:rFonts w:ascii="Times New Roman" w:eastAsia="Times New Roman" w:hAnsi="Times New Roman" w:cs="Times New Roman"/>
          <w:caps/>
          <w:color w:val="333333"/>
          <w:sz w:val="21"/>
          <w:szCs w:val="21"/>
        </w:rPr>
        <w:t>КРИТЕРИИ ПРИВЛЕЧЕНИЯ К ОТВЕТСТВЕННОСТИ ЗА КОРРУПЦИОННЫЕ ПРАВОНАРУШЕНИЯ</w:t>
      </w:r>
    </w:p>
    <w:tbl>
      <w:tblPr>
        <w:tblW w:w="5000" w:type="pct"/>
        <w:tblCellSpacing w:w="0" w:type="dxa"/>
        <w:shd w:val="clear" w:color="auto" w:fill="FFFFFF"/>
        <w:tblCellMar>
          <w:top w:w="30" w:type="dxa"/>
          <w:left w:w="30" w:type="dxa"/>
          <w:bottom w:w="30" w:type="dxa"/>
          <w:right w:w="30" w:type="dxa"/>
        </w:tblCellMar>
        <w:tblLook w:val="04A0"/>
      </w:tblPr>
      <w:tblGrid>
        <w:gridCol w:w="8003"/>
        <w:gridCol w:w="1412"/>
      </w:tblGrid>
      <w:tr w:rsidR="00594C8D" w:rsidRPr="00594C8D" w:rsidTr="00594C8D">
        <w:trPr>
          <w:tblCellSpacing w:w="0" w:type="dxa"/>
        </w:trPr>
        <w:tc>
          <w:tcPr>
            <w:tcW w:w="4250" w:type="pct"/>
            <w:shd w:val="clear" w:color="auto" w:fill="FFFFFF"/>
            <w:vAlign w:val="center"/>
            <w:hideMark/>
          </w:tcPr>
          <w:p w:rsidR="00594C8D" w:rsidRPr="00594C8D" w:rsidRDefault="00594C8D" w:rsidP="00594C8D">
            <w:pPr>
              <w:spacing w:after="0" w:line="240" w:lineRule="auto"/>
              <w:jc w:val="both"/>
              <w:rPr>
                <w:rFonts w:ascii="Times New Roman" w:eastAsia="Times New Roman" w:hAnsi="Times New Roman" w:cs="Times New Roman"/>
                <w:color w:val="333333"/>
                <w:sz w:val="18"/>
                <w:szCs w:val="18"/>
              </w:rPr>
            </w:pPr>
          </w:p>
        </w:tc>
        <w:tc>
          <w:tcPr>
            <w:tcW w:w="0" w:type="auto"/>
            <w:shd w:val="clear" w:color="auto" w:fill="FFFFFF"/>
            <w:noWrap/>
            <w:vAlign w:val="center"/>
            <w:hideMark/>
          </w:tcPr>
          <w:p w:rsidR="00594C8D" w:rsidRPr="00594C8D" w:rsidRDefault="00594C8D" w:rsidP="00594C8D">
            <w:pPr>
              <w:spacing w:after="0" w:line="240" w:lineRule="auto"/>
              <w:jc w:val="both"/>
              <w:rPr>
                <w:rFonts w:ascii="Times New Roman" w:eastAsia="Times New Roman" w:hAnsi="Times New Roman" w:cs="Times New Roman"/>
                <w:color w:val="333333"/>
                <w:sz w:val="14"/>
                <w:szCs w:val="14"/>
              </w:rPr>
            </w:pPr>
            <w:r w:rsidRPr="00594C8D">
              <w:rPr>
                <w:rFonts w:ascii="Times New Roman" w:eastAsia="Times New Roman" w:hAnsi="Times New Roman" w:cs="Times New Roman"/>
                <w:color w:val="333333"/>
                <w:sz w:val="14"/>
                <w:szCs w:val="14"/>
              </w:rPr>
              <w:t>15.07.2022, 12:36</w:t>
            </w:r>
          </w:p>
        </w:tc>
      </w:tr>
      <w:tr w:rsidR="00594C8D" w:rsidRPr="00594C8D" w:rsidTr="00594C8D">
        <w:trPr>
          <w:tblCellSpacing w:w="0" w:type="dxa"/>
        </w:trPr>
        <w:tc>
          <w:tcPr>
            <w:tcW w:w="0" w:type="auto"/>
            <w:gridSpan w:val="2"/>
            <w:shd w:val="clear" w:color="auto" w:fill="FFFFFF"/>
            <w:vAlign w:val="center"/>
            <w:hideMark/>
          </w:tcPr>
          <w:p w:rsidR="00594C8D" w:rsidRPr="00594C8D" w:rsidRDefault="00594C8D" w:rsidP="00594C8D">
            <w:pPr>
              <w:spacing w:after="0" w:line="240" w:lineRule="auto"/>
              <w:jc w:val="both"/>
              <w:rPr>
                <w:rFonts w:ascii="Times New Roman" w:eastAsia="Times New Roman" w:hAnsi="Times New Roman" w:cs="Times New Roman"/>
                <w:color w:val="333333"/>
                <w:sz w:val="24"/>
                <w:szCs w:val="24"/>
              </w:rPr>
            </w:pPr>
            <w:r w:rsidRPr="00594C8D">
              <w:rPr>
                <w:rFonts w:ascii="Times New Roman" w:eastAsia="Times New Roman" w:hAnsi="Times New Roman" w:cs="Times New Roman"/>
                <w:color w:val="333333"/>
                <w:sz w:val="24"/>
                <w:szCs w:val="24"/>
              </w:rPr>
              <w:t xml:space="preserve">Подготовлен Министерством труда и социальной защиты Российской Федерации (март 2022 г.) Обзор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I. Общие положения 1. 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 (далее соответственно – взыскания, антикоррупционные стандарты). 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 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 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 публичной власти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правоприменения, приведен в приложении № 1. 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 5. 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 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w:t>
            </w:r>
            <w:r w:rsidRPr="00594C8D">
              <w:rPr>
                <w:rFonts w:ascii="Times New Roman" w:eastAsia="Times New Roman" w:hAnsi="Times New Roman" w:cs="Times New Roman"/>
                <w:color w:val="333333"/>
                <w:sz w:val="24"/>
                <w:szCs w:val="24"/>
              </w:rPr>
              <w:lastRenderedPageBreak/>
              <w:t>Федерации о противодействии коррупции, включая увольнение (освобождение от должности) в связи с утратой доверия, досрочное прекращение полномочий. II. Правоприменительная практика в ситуациях, не влекущих применения взысканий 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 а) ошибочное (неточное) указание сведений в справке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служащему документах (выписках), на основании которых им заполнялась Справка (ошибка в форме 6-НДФЛ, сведениях о наличии счетов и иной информации, необходимой для заполнения Справок, выданных кредитной или некредитной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 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 б) заполнение служащим Справки в ином, не общепринятом, орфографическом порядке, при котором сохраняется смысловое содержание сведений в Справке, например: совершение орфографических ошибок (ошибки в указании марки и модели транспортного средства: вместо правильного написания "КИА" указывается "КИЯ"); совершение ошибок в сокращениях и аббревиатурах (вместо правильного написания "проспект Строителей" или "пр-т Строителей" указывается "пр. Строителей"); 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 в) указание большего объема сведений, чем предусмотрено Справкой (равно как и ошибки в сведениях, неподлежащих отражению в Справке), например: 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 указание срочных обязательств финансового характера на сумму менее 500 000 руб.; 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 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 7.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 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 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 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 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подпунктом "в" пункта 16 Положения о комиссиях). 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 9.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подразделе 3.1 раздела 3 или 6.1 раздела 6 Справки в качестве объекта собственности или объекта, находящегося в пользовании, эта квартира не указана. Обращалось также внимание на необходимость представления Справки с использованием актуальной версии специального программного обеспечения "Справки БК". III. Правоприменительная практика в ситуациях, влекущих применение взысканий 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 11. При определении конкретного вида взыскания, которое подлежит применению, учитывается следующее: а) характер и тяжесть совершенного нарушения; б) обстоятельства, при которых совершено нарушение; в) соблюдение служащим других запретов, исполнение других обязанностей, установленных в целях противодействия коррупции; г) предшествующие результаты исполнения служащим своих должностных обязанностей. 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 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 а) сокрытия доходов, имущества, источники происхождения которых служащий не мог пояснить или стоимость которых не соответствовала его доходам; 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указания недостоверной цены сделки в разделе 2 Справки для придания видимости соответствия расходов служащего его доходам; 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 д) сокрытия информации о фактах получения доходов от продажи имущества по цене существенно выше рыночной; 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 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 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 Обзор ситуаций, которые расценивались как значительные проступки, влекущие увольнение служащего в связи с утратой доверия, представлен в приложении № 2. 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 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приложении № 3. 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 16. Практика применения взысканий показывает, что в отдельных случаях впервые совершенных несущественных проступков, обзор которых приведен в приложении № 4, и при отсутствии отягчающих обстоятельств взыскания не применялись. 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 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 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 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 г) содействие проверяемого осуществляемым в ходе проверки мероприятиям, направленным на всестороннее изучение предмета проверки; д) принятие служащим мер по предотвращению дальнейшего совершения им коррупционного правонарушения и (или) устранению последствий его совершения; е) эффективное выполнение особо важных и сложных заданий (в случае наличия иных смягчающих обстоятельств); 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 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 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 20. Проведенный анализ выявил, что к отягчающим обстоятельствам были отнесены только следующие: 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 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в) одновременное нарушение двух и более требований законодательства Российской Федерации о противодействии коррупции; 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 ж) продолжение противоправных действий, несмотря на требование уполномоченного лица (органа) об их прекращении. 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закрепленных в том числе в соответствующем кодексе этики и служебного поведения служащих. 22. Не являются ни отягчающими, ни смягчающими обстоятельствами: 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 б) нереализация служащим предоставленных ему нормативными правовыми актами Российской Федерации прав и возможностей (например, непредоставление пояснений в письменной форме в ходе антикоррупционной проверки, отказ от участия в заседании комиссии). 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 IV. Дополнительные положения 24. Практика показывает, что в случаях невозможности представить Справку, содержащую достоверные и полные сведения, в отношении супруги (супруга) и несовершеннолетних детей, подтверждаемых в 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 При этом причина непредставления служащим Справки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 Как следствие, при получении заявления о невозможности представить Справку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 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 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 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 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 Приложение № 1 Типовая процедура применения взысканий в упрощенном порядке 1. 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 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 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 3. В запросе разъясняется содержание статей федеральных законов, касающихся вопросов привлечения к ответственности в упрощенном порядке. 4. В запросе указывается разумный срок представления объяснения. 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 6. 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 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 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 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 Кроме того, указанный доклад в целях применения соразмерного взыскания за совершенное коррупционное правонарушение содержит следующую информацию: характер и тяжесть совершенного служащим коррупционного правонарушения; обстоятельства, при которых совершено коррупционное правонарушение;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предшествующие результаты исполнения служащим своих должностных обязанностей. 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 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 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Приложение № 2 Обзор ситуаций, которые расценивались как значительные проступки, влекущие увольнение государственного (муниципального) служащего в связи с утратой доверия 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 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 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w:t>
            </w:r>
            <w:r w:rsidRPr="00594C8D">
              <w:rPr>
                <w:rFonts w:ascii="Times New Roman" w:eastAsia="Times New Roman" w:hAnsi="Times New Roman" w:cs="Times New Roman"/>
                <w:color w:val="333333"/>
                <w:sz w:val="24"/>
                <w:szCs w:val="24"/>
              </w:rPr>
              <w:t> </w:t>
            </w:r>
            <w:r w:rsidRPr="00594C8D">
              <w:rPr>
                <w:rFonts w:ascii="Times New Roman" w:eastAsia="Times New Roman" w:hAnsi="Times New Roman" w:cs="Times New Roman"/>
                <w:color w:val="333333"/>
                <w:sz w:val="24"/>
                <w:szCs w:val="24"/>
              </w:rPr>
              <w:t>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 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 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 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часть 5 статьи 59.3 Федерального закона от 27 июля 2004 г. № 79-ФЗ "О государственной гражданской службе Российской Федерации"). 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правоприменения в сфере конфликта интересов, подготовленных Минтрудом России. 30. 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статьей 20.2 Федерального закона от 27 июля 2004 г. № 79-ФЗ "О государственной гражданской службе Российской Федерации" или со статьей 15.1 Федерального закона от 2 марта 2007 г. № 25-ФЗ "О муниципальной службе в Российской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  например, путем: а) неуказания соответствующих сведений о расходах в разделе 2 Справки и одновременного неуказания сведений о приобретенном имуществе в разделе 3 и (или) в разделе 5 Справки; б) неуказания соответствующих сведений о расходах в разделе 2 Справки, при этом сведения о появившемся в отчетном периоде имуществе указаны в разделе 3 и (или) в разделе 5 Справки. 4. Сокрыта информация о банковском счете, движение денежных средств по которому не может быть объяснено исходя из доходов. 5. Представлены недостоверные сведения, способствующие сокрытию информации о наличии конфликта интересов, в том числе: 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 в) о получении кредитов, займов от организации, в отношении которой служащий выполняет функции государственного (муниципального) управления; 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 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 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 6. Представление недостоверных сведений, способствующих сокрытию информации о нарушении запретов, например: а) о получении служащим дохода от предпринимательской деятельности; б) о владении акциями, долями участия в коммерческих организациях, при том, что служащий фактически участвует в управлении этой коммерческой организацией; в) для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 о наличии счета (счетов) в иностранном банке (иностранных банках), расположенном (расположенных) за пределами территории Российской Федерации. 7. Сокрытие сведений о находящемся в собственности недвижимом имуществе, расположенном за пределами Российской Федерации. 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 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 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 11. Указание в разделе 2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 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 13. Непринятие служащим мер по предотвращению и урегулированию конфликта интересов в следующих ситуациях: 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общественно-опасным последствиям (например, сокрытие служащим информации о несоблюдении поднадзорной организацией правил пожарной безопасности); 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 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 участие в заключении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 Приложение № 3 Обзор ситуаций, которые расценивались как малозначительные проступки 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 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Справки, и нет сомнений в отсутствии коррупционной составляющей в действиях (бездействии) служащего. 3. 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Справке отражены полные и достоверные сведения об этом счете. 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 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 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 7. Служащий не указал имущество, находящееся в его собственности, при этом данное имущество отражено в Справках за предыдущие отчетные периоды и отсутствуют коррупционные риски. 8. Не указан доход от продажи транспортного средства по договору трейд-ин, при этом новое транспортное средство указано в Справке. 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 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Приложение № 4 Обзор ситуаций, которые расценивались как несущественные проступки 1. Разница между суммой всех фактически полученных доходов и суммой доходов, указанных в разделе 1 Справки, не превышает 50 000 руб. 2. При заполнении раздела 1 Справки служащий ошибся в выборе источника дохода (например, доход от педагогической деятельности указан в строке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 3. Объект недвижимого имущества, находящийся в пользовании по договору социального найма, указан в подразделе 3.1 раздела 3 Справки. 4. Объект недвижимого имущества, который ранее указывался в подразделе 3.1 раздела 3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 не осуществлена. 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 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 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 8. Не указаны сведения о транспортном средстве: рыночная стоимость которого не превышает 100 000 руб. и фактическое пользование которым не осуществляется более 10 лет; переданном третьим лицам по нотариальной доверенности, выданной более трех лет назад, рыночная стоимость которого не превышает 500 000 руб.; находящимся в угоне. 9. Не указаны сведения о банковских счетах, вкладах: 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 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 суммарный остаток денежных средств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 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 11. 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 указаны в соответствующем разделе Справки. 12. Ошибочно указан заем от физического лица в разделе 1 Справки в качестве дохода при условии, что данное обстоятельство не привело к исключению необходимости заполнения раздела 2 Справки. 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 14. 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 15. Неуведомление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 16. Неуказание служащим в Справке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 17. 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разделе 1 Справки и при этом соблюдены иные антикоррупционные стандарты в ходе выполнения иной оплачиваемой работы (деятельности). 18. Неуказание в разделе 1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 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tc>
      </w:tr>
    </w:tbl>
    <w:p w:rsidR="00F71D6C" w:rsidRDefault="00F71D6C"/>
    <w:sectPr w:rsidR="00F71D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FELayout/>
  </w:compat>
  <w:rsids>
    <w:rsidRoot w:val="00594C8D"/>
    <w:rsid w:val="00594C8D"/>
    <w:rsid w:val="00F71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8388591">
      <w:bodyDiv w:val="1"/>
      <w:marLeft w:val="0"/>
      <w:marRight w:val="0"/>
      <w:marTop w:val="0"/>
      <w:marBottom w:val="0"/>
      <w:divBdr>
        <w:top w:val="none" w:sz="0" w:space="0" w:color="auto"/>
        <w:left w:val="none" w:sz="0" w:space="0" w:color="auto"/>
        <w:bottom w:val="none" w:sz="0" w:space="0" w:color="auto"/>
        <w:right w:val="none" w:sz="0" w:space="0" w:color="auto"/>
      </w:divBdr>
      <w:divsChild>
        <w:div w:id="820082185">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7168</Words>
  <Characters>40864</Characters>
  <Application>Microsoft Office Word</Application>
  <DocSecurity>0</DocSecurity>
  <Lines>340</Lines>
  <Paragraphs>95</Paragraphs>
  <ScaleCrop>false</ScaleCrop>
  <Company>MultiDVD Team</Company>
  <LinksUpToDate>false</LinksUpToDate>
  <CharactersWithSpaces>47937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2024-04-24T09:05:00Z</dcterms:created>
  <dcterms:modified xsi:type="dcterms:W3CDTF">2024-04-24T09:05:00Z</dcterms:modified>
</cp:coreProperties>
</file>