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98" w:rsidRPr="00532498" w:rsidRDefault="00532498" w:rsidP="00532498">
      <w:pPr>
        <w:shd w:val="clear" w:color="auto" w:fill="FFFFFF"/>
        <w:spacing w:after="0" w:line="240" w:lineRule="auto"/>
        <w:jc w:val="both"/>
        <w:rPr>
          <w:rFonts w:ascii="Times New Roman" w:eastAsia="Times New Roman" w:hAnsi="Times New Roman" w:cs="Times New Roman"/>
          <w:caps/>
          <w:color w:val="333333"/>
          <w:sz w:val="21"/>
          <w:szCs w:val="21"/>
        </w:rPr>
      </w:pPr>
      <w:r w:rsidRPr="00532498">
        <w:rPr>
          <w:rFonts w:ascii="Times New Roman" w:eastAsia="Times New Roman" w:hAnsi="Times New Roman" w:cs="Times New Roman"/>
          <w:caps/>
          <w:color w:val="333333"/>
          <w:sz w:val="21"/>
          <w:szCs w:val="21"/>
        </w:rPr>
        <w:t>РАЗЪЯСНЕНИЯ ПО ОТДЕЛЬНЫМ ВОПРОСАМ, СВЯЗАННЫМ С ПОЛУЧЕНИЕМ ДОЛЖНОСТНЫМИ ЛИЦАМИ ПОДАРКОВ И ИХ УЧЕТУ</w:t>
      </w:r>
    </w:p>
    <w:tbl>
      <w:tblPr>
        <w:tblW w:w="5000" w:type="pct"/>
        <w:tblCellSpacing w:w="0" w:type="dxa"/>
        <w:shd w:val="clear" w:color="auto" w:fill="FFFFFF"/>
        <w:tblCellMar>
          <w:top w:w="30" w:type="dxa"/>
          <w:left w:w="30" w:type="dxa"/>
          <w:bottom w:w="30" w:type="dxa"/>
          <w:right w:w="30" w:type="dxa"/>
        </w:tblCellMar>
        <w:tblLook w:val="04A0"/>
      </w:tblPr>
      <w:tblGrid>
        <w:gridCol w:w="8003"/>
        <w:gridCol w:w="1412"/>
      </w:tblGrid>
      <w:tr w:rsidR="00532498" w:rsidRPr="00532498" w:rsidTr="00532498">
        <w:trPr>
          <w:tblCellSpacing w:w="0" w:type="dxa"/>
        </w:trPr>
        <w:tc>
          <w:tcPr>
            <w:tcW w:w="4250" w:type="pct"/>
            <w:shd w:val="clear" w:color="auto" w:fill="FFFFFF"/>
            <w:vAlign w:val="center"/>
            <w:hideMark/>
          </w:tcPr>
          <w:p w:rsidR="00532498" w:rsidRPr="00532498" w:rsidRDefault="00532498" w:rsidP="00532498">
            <w:pPr>
              <w:spacing w:after="0" w:line="240" w:lineRule="auto"/>
              <w:jc w:val="both"/>
              <w:rPr>
                <w:rFonts w:ascii="Times New Roman" w:eastAsia="Times New Roman" w:hAnsi="Times New Roman" w:cs="Times New Roman"/>
                <w:color w:val="333333"/>
                <w:sz w:val="18"/>
                <w:szCs w:val="18"/>
              </w:rPr>
            </w:pPr>
          </w:p>
        </w:tc>
        <w:tc>
          <w:tcPr>
            <w:tcW w:w="0" w:type="auto"/>
            <w:shd w:val="clear" w:color="auto" w:fill="FFFFFF"/>
            <w:noWrap/>
            <w:vAlign w:val="center"/>
            <w:hideMark/>
          </w:tcPr>
          <w:p w:rsidR="00532498" w:rsidRPr="00532498" w:rsidRDefault="00532498" w:rsidP="00532498">
            <w:pPr>
              <w:spacing w:after="0" w:line="240" w:lineRule="auto"/>
              <w:jc w:val="both"/>
              <w:rPr>
                <w:rFonts w:ascii="Times New Roman" w:eastAsia="Times New Roman" w:hAnsi="Times New Roman" w:cs="Times New Roman"/>
                <w:color w:val="333333"/>
                <w:sz w:val="14"/>
                <w:szCs w:val="14"/>
              </w:rPr>
            </w:pPr>
            <w:r w:rsidRPr="00532498">
              <w:rPr>
                <w:rFonts w:ascii="Times New Roman" w:eastAsia="Times New Roman" w:hAnsi="Times New Roman" w:cs="Times New Roman"/>
                <w:color w:val="333333"/>
                <w:sz w:val="14"/>
                <w:szCs w:val="14"/>
              </w:rPr>
              <w:t>15.07.2022, 10:53</w:t>
            </w:r>
          </w:p>
        </w:tc>
      </w:tr>
      <w:tr w:rsidR="00532498" w:rsidRPr="00532498" w:rsidTr="00532498">
        <w:trPr>
          <w:tblCellSpacing w:w="0" w:type="dxa"/>
        </w:trPr>
        <w:tc>
          <w:tcPr>
            <w:tcW w:w="0" w:type="auto"/>
            <w:gridSpan w:val="2"/>
            <w:shd w:val="clear" w:color="auto" w:fill="FFFFFF"/>
            <w:vAlign w:val="center"/>
            <w:hideMark/>
          </w:tcPr>
          <w:p w:rsidR="00532498" w:rsidRPr="00532498" w:rsidRDefault="00532498" w:rsidP="00532498">
            <w:pPr>
              <w:spacing w:after="0" w:line="240" w:lineRule="auto"/>
              <w:jc w:val="both"/>
              <w:rPr>
                <w:rFonts w:ascii="Times New Roman" w:eastAsia="Times New Roman" w:hAnsi="Times New Roman" w:cs="Times New Roman"/>
                <w:color w:val="333333"/>
                <w:sz w:val="24"/>
                <w:szCs w:val="24"/>
              </w:rPr>
            </w:pPr>
            <w:r w:rsidRPr="00532498">
              <w:rPr>
                <w:rFonts w:ascii="Times New Roman" w:eastAsia="Times New Roman" w:hAnsi="Times New Roman" w:cs="Times New Roman"/>
                <w:color w:val="333333"/>
                <w:sz w:val="24"/>
                <w:szCs w:val="24"/>
              </w:rPr>
              <w:t xml:space="preserve"> От подарка до взятки – один шаг. Общие положения 1. Гражданский кодекс Российской Федерации не допускает дарение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(за исключением подарков, стоимость которых не превышает трех тысяч рублей). Исключением из данного запрета являются случаи дарения в связи с протокольными мероприятиями, служебными командировками и другими официальными мероприятиями. При этом положения федеральных законов, регулирующих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Банке России, и особенности прохождения отдельных видов государственной (муниципальной) службы, устанавливают запрет на получение указанными лицами и работниками отдельных организаций (далее также – должностные лица) в связи с выполнением должностных (трудовых) обязанностей не предусмотренных законодательством Российской Федерации подарков от физических и юридических лиц. 2. Применительно к настоящим разъяснениям: 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 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 3.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 10 (далее – Типовое положение, постановление Правительства Российской Федерации № 10), и предусмотренные в нем процедуры не распространяются на: 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2) цветы, к которым можно отнести срезанные цветы, цветы в горшках, цветочные корзины, искусственные цветы и т.п.; 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 В этой связи, уведомлять о получении и сдавать вышеуказанные подарки не требуется, они являются собственностью одаряемого.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w:t>
            </w:r>
            <w:r w:rsidRPr="00532498">
              <w:rPr>
                <w:rFonts w:ascii="Times New Roman" w:eastAsia="Times New Roman" w:hAnsi="Times New Roman" w:cs="Times New Roman"/>
                <w:color w:val="333333"/>
                <w:sz w:val="24"/>
                <w:szCs w:val="24"/>
              </w:rPr>
              <w:lastRenderedPageBreak/>
              <w:t>имени представителя нанимателя (работодателя). 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 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 5. При применении настоящих разъяснений необходимо обратить внимание и учитывать положения Рекомендаций по соблюдению государственными (муниципальными) служащими норм этики в целях противодействия коррупции и иным правонарушениям, подготовленных Минтрудом России и опубликованных на официальном сайте Министерства. Субъектный состав должностных лиц, для которых установлены процедуры уведомления о получении подарка, сдачи, определения стоимости подарка и его реализации (выкупа) 6. Типовым положением определен следующий субъектный состав лиц, на которых распространяется его действие: 1) лица, замещающие государственные должности Российской Федерации, государственные должности субъектов Российской Федерации, муниципальные должности; 2) государственные и муниципальные служащие; 3) работники государственных вне</w:t>
            </w:r>
            <w:r w:rsidRPr="00532498">
              <w:rPr>
                <w:rFonts w:ascii="Times New Roman" w:eastAsia="Times New Roman" w:hAnsi="Times New Roman" w:cs="Times New Roman"/>
                <w:color w:val="333333"/>
                <w:sz w:val="24"/>
                <w:szCs w:val="24"/>
              </w:rPr>
              <w:t> </w:t>
            </w:r>
            <w:r w:rsidRPr="00532498">
              <w:rPr>
                <w:rFonts w:ascii="Times New Roman" w:eastAsia="Times New Roman" w:hAnsi="Times New Roman" w:cs="Times New Roman"/>
                <w:color w:val="333333"/>
                <w:sz w:val="24"/>
                <w:szCs w:val="24"/>
              </w:rPr>
              <w:t>Разъяснения по отдельным вопросам, 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 Москва, 2020бюджетных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4) 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 ; 5) 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 6) служащие Банка России. 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 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 мая 2015 г. № 159-рп (распоряжение Президента Российской Федерации № 159-рп). 8.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 г. № 1088 (далее – постановление Правительства Российской Федерации № 1088). 9. 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в том числе в отношении подарков, полученных лицами, указанными в пунктах 7 и 8 настоящих разъяснений. Разъяснения по отдельным вопросам Уведомление о получении подарка 10.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 позднее 3 рабочих дней со дня возвращения из служебной командировки . 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 11. Уведомление составляется в двух экземплярах . Данные уведомления подаются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 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(пункты 1 и 5 распоряжения Президента Российской Федерации № 159-рп). 12.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 . 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в пункте 18 настоящих разъяснений. 13. Уведомление регистрируется 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 . Одно уведомление может содержать информацию о нескольких подарках. 14. После подачи уведомления у должностного лица останется один экземпляр поданного им уведомления 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 . 15.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пунктами 5 и 6 постановления Правительства Российской Федерации № 10. 16.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 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 Сдача подарка 17.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 . 18. Особенности сдачи подарков для отдельных категорий лиц установлены распоряжением Президента Российской Федерации № 159-рп и постановлением Правительства Российской Федерации № 1088. Лица, замещающие государственную (муниципальную) должность, обязаны сдать подарок независимо от его стоимости . 19.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 .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 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 Лицами, указанными в пункте 8 настоящих разъяснений, полученный подарок должен быть сдан не позднее 3 рабочих дней со дня его получения . 20. После подписания акта приема-передачи подарок подлежит поставке на учет в соответствии с пунктом 22 настоящих разъяснений. 21. До сдачи подарка материально ответственному лицу уполномоченного структурного подразделения (уполномоченного органа или организации) ответственность за утрату или повреждение подарка несет должностное лицо, получившее подарок . В случае если сдаваемый подарок поврежден, информацию об этом необходимо указать в акте приема-передачи. 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 Учет подарка 22. До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 В целях обеспечения надлежащего контроля за сохранностью подарков, принятых на хранение, следует осуществлять их учет вне балансовых счетов, а именно на забалансовом счете 02 «Материальные ценности на хранении» (до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 23.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 24.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 25.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 26.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забалансового счета. Отказ должностного лица от приема данного подарка нормативными правовыми актами не предусмотрен, в связи с чем подарок должен быть ему возвращен. 27. Возврат подарка оформляется соответствующим актом возврата подарка. Выкуп подарка 28. Право выкупа подарка может быть реализовано должностным лицом, сдавшим подарок, в течение двух месяцев со дня сдачи его по акту приема-передачи подарка . 29. Заявление о выкупе подарков составляется в двух экземплярах и подается в тоже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пунктами 5 и 6 постановления Правительства Российской Федерации № 10). 30.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 31. 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Федеральный закон от 29 июля 1998 г. № 135-ФЗ "Об оценочной деятельности в Российской Федерации" и должна быть завершена в течение 3 месяцев со дня поступления заявления о выкупе подарка . 32.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 . 33.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забалансового счета, включения в реестр имущества и хранится у материально ответственного лица. Порядок действий при получении подарка, изготовленного из драгоценных металлов и (или) драгоценных камней 34.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 . 35.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проведения процедуры оценки стоимости подарка для его выкупа. 36.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 37.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38.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 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 39.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его уполномоченному представителю. 40.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 41.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что подарок не содержит в себе более 10% драгоценных металлов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 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 42. При принятии решения о целесообразности использования подарка для обеспечения деятельности государственного (муниципального) органа, организации: 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 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 При этом такой подарок может быть подарен иным лицам при проведении 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 43.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 44.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 либо передаче такого подарка для использования в подведомственную организацию . 45. 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 . Реализация подарка осуществляется посредством проведения торгов в порядке, предусмотренном законодательством Российской Федерации (Гражданским кодексом Российской Федерации, Федеральным законом 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 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 46.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 47.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 48.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 . 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 49. 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 от 16 июля 2007 г. № 447 (далее – Положение об учете). 50.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 . 51.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 52. 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России от 30 августа 2011 г. № 424. 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 53.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 54. 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 55. 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(далее – НК РФ). 56.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 57. 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tc>
      </w:tr>
    </w:tbl>
    <w:p w:rsidR="000A560E" w:rsidRDefault="000A560E"/>
    <w:sectPr w:rsidR="000A5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532498"/>
    <w:rsid w:val="000A560E"/>
    <w:rsid w:val="00532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337128">
      <w:bodyDiv w:val="1"/>
      <w:marLeft w:val="0"/>
      <w:marRight w:val="0"/>
      <w:marTop w:val="0"/>
      <w:marBottom w:val="0"/>
      <w:divBdr>
        <w:top w:val="none" w:sz="0" w:space="0" w:color="auto"/>
        <w:left w:val="none" w:sz="0" w:space="0" w:color="auto"/>
        <w:bottom w:val="none" w:sz="0" w:space="0" w:color="auto"/>
        <w:right w:val="none" w:sz="0" w:space="0" w:color="auto"/>
      </w:divBdr>
      <w:divsChild>
        <w:div w:id="132096404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5109</Words>
  <Characters>29127</Characters>
  <Application>Microsoft Office Word</Application>
  <DocSecurity>0</DocSecurity>
  <Lines>242</Lines>
  <Paragraphs>68</Paragraphs>
  <ScaleCrop>false</ScaleCrop>
  <Company>MultiDVD Team</Company>
  <LinksUpToDate>false</LinksUpToDate>
  <CharactersWithSpaces>34168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2024-04-24T09:13:00Z</dcterms:created>
  <dcterms:modified xsi:type="dcterms:W3CDTF">2024-04-24T09:13:00Z</dcterms:modified>
</cp:coreProperties>
</file>